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7CF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Распоряжение Правительства Российской Федерации от 7 сентября 2010 г. N 1507-р г. Москва</w:t>
      </w:r>
    </w:p>
    <w:p w:rsidR="00000000" w:rsidRDefault="003F7CF4">
      <w:pPr>
        <w:pStyle w:val="3"/>
        <w:rPr>
          <w:rFonts w:eastAsia="Times New Roman"/>
        </w:rPr>
      </w:pPr>
      <w:r>
        <w:rPr>
          <w:rFonts w:eastAsia="Times New Roman"/>
        </w:rPr>
        <w:t>План действий по модернизации общего образования на 2011-2015 годы</w:t>
      </w:r>
    </w:p>
    <w:p w:rsidR="00000000" w:rsidRDefault="003F7CF4">
      <w:pPr>
        <w:pStyle w:val="a3"/>
      </w:pPr>
      <w:r>
        <w:t>Утверждение плана действий по модернизации общего образования на 2011-2015 годы</w:t>
      </w:r>
    </w:p>
    <w:p w:rsidR="00000000" w:rsidRDefault="003F7CF4">
      <w:pPr>
        <w:pStyle w:val="a3"/>
      </w:pPr>
      <w:r>
        <w:t>Дата подписания: 07.09.2010</w:t>
      </w:r>
    </w:p>
    <w:p w:rsidR="00000000" w:rsidRDefault="003F7CF4">
      <w:pPr>
        <w:pStyle w:val="a3"/>
      </w:pPr>
      <w:r>
        <w:t>Дата публикации: 14.01.2011 00:00</w:t>
      </w:r>
    </w:p>
    <w:p w:rsidR="00000000" w:rsidRDefault="003F7CF4">
      <w:pPr>
        <w:pStyle w:val="a3"/>
      </w:pPr>
      <w:r>
        <w:t>В целях реализации национальной образовательной инициативы "Наша новая школа":</w:t>
      </w:r>
      <w:r>
        <w:br/>
      </w:r>
      <w:r>
        <w:br/>
        <w:t>1. Утвердить прилагаемый план действий по модернизации общего образования на 2011-2015 годы.</w:t>
      </w:r>
      <w:r>
        <w:br/>
      </w:r>
      <w:r>
        <w:br/>
        <w:t>2. Минобрнауки Росси</w:t>
      </w:r>
      <w:r>
        <w:t>и обеспечить координацию и контроль реализации плана.</w:t>
      </w:r>
    </w:p>
    <w:p w:rsidR="00000000" w:rsidRDefault="003F7CF4">
      <w:pPr>
        <w:pStyle w:val="a3"/>
      </w:pPr>
      <w:r>
        <w:rPr>
          <w:b/>
          <w:bCs/>
        </w:rPr>
        <w:t xml:space="preserve">Председатель </w:t>
      </w:r>
      <w:r>
        <w:rPr>
          <w:b/>
          <w:bCs/>
        </w:rPr>
        <w:br/>
        <w:t xml:space="preserve">Правительства Российской Федерации </w:t>
      </w:r>
      <w:r>
        <w:rPr>
          <w:b/>
          <w:bCs/>
        </w:rPr>
        <w:br/>
        <w:t>В. Путин</w:t>
      </w:r>
      <w:r>
        <w:br/>
      </w:r>
      <w:r>
        <w:rPr>
          <w:i/>
          <w:iCs/>
        </w:rPr>
        <w:br/>
        <w:t>Прим. ред.: текст распоряжения опубликован в "</w:t>
      </w:r>
      <w:hyperlink r:id="rId5" w:history="1">
        <w:r>
          <w:rPr>
            <w:rStyle w:val="a4"/>
            <w:i/>
            <w:iCs/>
          </w:rPr>
          <w:t>Соб</w:t>
        </w:r>
        <w:r>
          <w:rPr>
            <w:rStyle w:val="a4"/>
            <w:i/>
            <w:iCs/>
          </w:rPr>
          <w:t>рании законодательства РФ</w:t>
        </w:r>
      </w:hyperlink>
      <w:r>
        <w:rPr>
          <w:i/>
          <w:iCs/>
        </w:rPr>
        <w:t>", 13.09.2010, N 37, ст. 4778.</w:t>
      </w:r>
      <w:r>
        <w:br/>
        <w:t> </w:t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43500" cy="6457950"/>
            <wp:effectExtent l="0" t="0" r="0" b="0"/>
            <wp:docPr id="1" name="Рисунок 1" descr="План действий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действий -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62550" cy="7581900"/>
            <wp:effectExtent l="0" t="0" r="0" b="0"/>
            <wp:docPr id="2" name="Рисунок 2" descr="План действий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действий - 2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095875" cy="7677150"/>
            <wp:effectExtent l="0" t="0" r="9525" b="0"/>
            <wp:docPr id="3" name="Рисунок 3" descr="План действий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действий - 3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53025" cy="7429500"/>
            <wp:effectExtent l="0" t="0" r="9525" b="0"/>
            <wp:docPr id="4" name="Рисунок 4" descr="План действий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действий - 4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62550" cy="7696200"/>
            <wp:effectExtent l="0" t="0" r="0" b="0"/>
            <wp:docPr id="5" name="Рисунок 5" descr="План действий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н действий - 5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53025" cy="7581900"/>
            <wp:effectExtent l="0" t="0" r="9525" b="0"/>
            <wp:docPr id="6" name="Рисунок 6" descr="План действий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действий - 6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143500" cy="6915150"/>
            <wp:effectExtent l="0" t="0" r="0" b="0"/>
            <wp:docPr id="7" name="Рисунок 7" descr="План действий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 действий - 7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rPr>
          <w:noProof/>
        </w:rPr>
        <w:drawing>
          <wp:inline distT="0" distB="0" distL="0" distR="0">
            <wp:extent cx="5038725" cy="1314450"/>
            <wp:effectExtent l="0" t="0" r="9525" b="0"/>
            <wp:docPr id="8" name="Рисунок 8" descr="План действий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н действий - 8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7CF4">
      <w:pPr>
        <w:pStyle w:val="a3"/>
      </w:pPr>
      <w:r>
        <w:t> </w:t>
      </w:r>
    </w:p>
    <w:p w:rsidR="00000000" w:rsidRDefault="003F7CF4">
      <w:pPr>
        <w:pStyle w:val="a3"/>
      </w:pPr>
      <w:r>
        <w:t xml:space="preserve">Примечание. </w:t>
      </w:r>
      <w:r>
        <w:br/>
        <w:t>По результатам реализации мероприятий настоящего плана предполагается достижение следующих основных показателей:</w:t>
      </w:r>
      <w:r>
        <w:br/>
      </w:r>
      <w:r>
        <w:br/>
        <w:t>а) п</w:t>
      </w:r>
      <w:r>
        <w:t>о разделу I:</w:t>
      </w:r>
      <w:r>
        <w:br/>
        <w:t>рост численности школьников, обучающихся по федеральным государственным образовательным стандартам:</w:t>
      </w:r>
      <w:r>
        <w:br/>
        <w:t>на ступени начального общего образования - с 25 до 100 процентов;</w:t>
      </w:r>
      <w:r>
        <w:br/>
        <w:t>на ступени основного общего образования - с 2 до 30 процентов;</w:t>
      </w:r>
      <w:r>
        <w:br/>
        <w:t>на ступени сре</w:t>
      </w:r>
      <w:r>
        <w:t>днего (полного) общего образования - с 2 до 10 процентов;</w:t>
      </w:r>
      <w:r>
        <w:br/>
      </w:r>
      <w:r>
        <w:br/>
        <w:t>рост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стандартом, - с 10 до 70 проценто</w:t>
      </w:r>
      <w:r>
        <w:t>в;</w:t>
      </w:r>
      <w:r>
        <w:br/>
      </w:r>
      <w:r>
        <w:br/>
        <w:t>рост численности педагогических и управленческих кадров общеобразовательных учреждений, рошедших повышение квалификации для работы в соответствии с федеральными государственными образовательными стандартами, - с 20 до 80 процентов;</w:t>
      </w:r>
      <w:r>
        <w:br/>
      </w:r>
      <w:r>
        <w:br/>
        <w:t>рост охвата ступене</w:t>
      </w:r>
      <w:r>
        <w:t>й общего образования, на которых реализуются возможности независимой оценки качества образования, - с 33 до 66 процентов;</w:t>
      </w:r>
      <w:r>
        <w:br/>
      </w:r>
      <w:r>
        <w:br/>
        <w:t>б) по разделу II:</w:t>
      </w:r>
      <w:r>
        <w:br/>
      </w:r>
      <w:r>
        <w:br/>
        <w:t>рост количества субъектов Российской Федерации, участвующих в заключительном этапе всероссийской олимпиады школьни</w:t>
      </w:r>
      <w:r>
        <w:t>ков в соответствии с установленным минимальным баллом, - с 64 до 80 единиц;</w:t>
      </w:r>
      <w:r>
        <w:br/>
      </w:r>
      <w:r>
        <w:br/>
        <w:t>рост доли олимпиад школьников, организуемых двумя и более учреждениями высшего профессионального образования, - с 17 до 50 процентов;</w:t>
      </w:r>
      <w:r>
        <w:br/>
      </w:r>
      <w:r>
        <w:br/>
        <w:t>рост количества субъектов Российской Федерац</w:t>
      </w:r>
      <w:r>
        <w:t>ии, в которых действуют региональные программы поддержки талантливых и одаренных детей, - с 20 до 100 процентов;</w:t>
      </w:r>
      <w:r>
        <w:br/>
      </w:r>
      <w:r>
        <w:br/>
        <w:t>рост численности обучающихся в общеобразовательных учреждениях, занимающихся в очно-заочных и заочных (дистанционных) школах, - с 5 до 15 проц</w:t>
      </w:r>
      <w:r>
        <w:t>ентов;</w:t>
      </w:r>
      <w:r>
        <w:br/>
      </w:r>
      <w:r>
        <w:br/>
        <w:t>рост численности детей школьного возраста, имеющих возможность по выбору получать доступные качественные услуги дополнительного образования (не менее 3 доступных предложений из разных сфер деятельности), - с 7 до 70 процентов;</w:t>
      </w:r>
      <w:r>
        <w:br/>
      </w:r>
      <w:r>
        <w:br/>
        <w:t>в) по разделу III:</w:t>
      </w:r>
      <w:r>
        <w:br/>
        <w:t>р</w:t>
      </w:r>
      <w:r>
        <w:t>ост количества субъектов Российской Федерации, в которых заработная плата учителей не ниже средней заработной платы в субъекте Российской Федерации, - с 20 до 40 единиц;</w:t>
      </w:r>
      <w:r>
        <w:br/>
      </w:r>
      <w:r>
        <w:br/>
        <w:t>рост численности школьников, обучающихся в школах, в которых руководитель образовател</w:t>
      </w:r>
      <w:r>
        <w:t>ьного учреждения имеет квалификацию в области управления, - с 20 до 70 процентов;</w:t>
      </w:r>
      <w:r>
        <w:br/>
      </w:r>
      <w:r>
        <w:br/>
        <w:t>рост численности учителей, прошедших обучение по новым адресным моделям повышения квалификации и имевших возможность выбора программ обучения, - с 8 до 80 процентов;</w:t>
      </w:r>
      <w:r>
        <w:br/>
      </w:r>
      <w:r>
        <w:br/>
        <w:t>рост ч</w:t>
      </w:r>
      <w:r>
        <w:t>исленности учителей, прошедших оценку качества работы и ее соответствия современным регламентам (аттестацию) по новым правилам, - с 5 до 70 процентов;</w:t>
      </w:r>
      <w:r>
        <w:br/>
      </w:r>
      <w:r>
        <w:br/>
        <w:t>г) по разделу IV:</w:t>
      </w:r>
      <w:r>
        <w:br/>
        <w:t>рост численности обучающихся, которым предоставлена возможность обучаться в соответств</w:t>
      </w:r>
      <w:r>
        <w:t>ии с основными современными требованиями (в соответствии с санитарно-эпидемиологическими правилами и нормативами, федеральными государственными стандартами и другими регламентирующими документами), - с 45 до 90 процентов;</w:t>
      </w:r>
      <w:r>
        <w:br/>
      </w:r>
      <w:r>
        <w:br/>
        <w:t>рост численности обучающихся в со</w:t>
      </w:r>
      <w:r>
        <w:t>временных зданиях, обладающих современной технологической инфраструктурой и отвечающих строительным нормам и правилам, пожарным требованиям и санитарно-эпидемиологическим правилам и нормативам, - с 40 до 70 процентов;</w:t>
      </w:r>
      <w:r>
        <w:br/>
      </w:r>
      <w:r>
        <w:br/>
        <w:t>рост численности обучающихся, которым</w:t>
      </w:r>
      <w:r>
        <w:t xml:space="preserve"> беспечена возможность пользоваться современными медиатеками и библиотеками, - с 40 до 70 процентов;</w:t>
      </w:r>
      <w:r>
        <w:br/>
      </w:r>
      <w:r>
        <w:br/>
        <w:t>рост численности детей с ограниченными возможностями здоровья и детей-инвалидов, которым созданы условия для получения качественного общего образования, в</w:t>
      </w:r>
      <w:r>
        <w:t xml:space="preserve"> том числе с использованием дистанционных образовательных технологий, в общей численности детей с ограниченными возможностями здоровья и детей-инвалидов школьного возраста - с 30 до 70 процентов;</w:t>
      </w:r>
      <w:r>
        <w:br/>
      </w:r>
      <w:r>
        <w:br/>
        <w:t>д) по разделу V:</w:t>
      </w:r>
      <w:r>
        <w:br/>
        <w:t>рост численности обучающихся, которым пред</w:t>
      </w:r>
      <w:r>
        <w:t>оставлена возможность пользоваться современными столовыми, в том числе получать качественное горячее питание, - с 40 до 70 процентов;</w:t>
      </w:r>
      <w:r>
        <w:br/>
      </w:r>
      <w:r>
        <w:br/>
        <w:t>рост численности обучающихся, которым созданы современные условия для занятий физкультурой, в том числе обеспечена возмож</w:t>
      </w:r>
      <w:r>
        <w:t>ность пользоваться современно оборудованными спортзалами и спортплощадками, - с 40 до 70 процентов;</w:t>
      </w:r>
      <w:r>
        <w:br/>
      </w:r>
      <w:r>
        <w:br/>
        <w:t>рост численности школьников, обучающихся в зданиях, в которых обеспечено медицинское обслуживание, включая наличие современных медицинских кабинетов, - с 3</w:t>
      </w:r>
      <w:r>
        <w:t>5 до 70 процентов;</w:t>
      </w:r>
      <w:r>
        <w:br/>
      </w:r>
      <w:r>
        <w:br/>
        <w:t>е) по разделу VI:</w:t>
      </w:r>
      <w:r>
        <w:br/>
      </w:r>
      <w:r>
        <w:br/>
        <w:t>рост количества общеобразовательных учреждений, перешедших на новую систему оплаты труда, ориентированную на результат, - с 20 до 100 процентов;</w:t>
      </w:r>
      <w:r>
        <w:br/>
      </w:r>
      <w:r>
        <w:br/>
        <w:t>рост количества общеобразовательных учреждений, ежегодно представляющих</w:t>
      </w:r>
      <w:r>
        <w:t xml:space="preserve"> общественности публичный отчет, обеспечивающий открытость и прозрачность образовательной и хозяйственной деятельности, - с 10 до 90 процентов;</w:t>
      </w:r>
      <w:r>
        <w:br/>
      </w:r>
      <w:r>
        <w:br/>
        <w:t>рост количества негосударственных общеобразовательных учреждений, которым обеспечен доступ к бюджетному финанси</w:t>
      </w:r>
      <w:r>
        <w:t>рованию по нормативу, - с 5 до 80 процентов;</w:t>
      </w:r>
      <w:r>
        <w:br/>
      </w:r>
      <w:r>
        <w:br/>
        <w:t>рост количества общеобразовательных учреждений, ставших бюджетными учреждениями, - с 0 до 50 процентов, а также автономными учреждениями - с 1 до 15 процентов.</w:t>
      </w:r>
      <w:r>
        <w:br/>
      </w:r>
      <w:r>
        <w:br/>
        <w:t> </w:t>
      </w:r>
    </w:p>
    <w:p w:rsidR="003F7CF4" w:rsidRDefault="003F7CF4">
      <w:pPr>
        <w:pStyle w:val="a3"/>
      </w:pPr>
      <w:r>
        <w:rPr>
          <w:sz w:val="20"/>
          <w:szCs w:val="20"/>
        </w:rPr>
        <w:t>Материал опубликован по адресу: http://www.rg.r</w:t>
      </w:r>
      <w:r>
        <w:rPr>
          <w:sz w:val="20"/>
          <w:szCs w:val="20"/>
        </w:rPr>
        <w:t>u/2011/01/14/plan-site-dok.html</w:t>
      </w:r>
    </w:p>
    <w:sectPr w:rsidR="003F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4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0759"/>
    <w:rsid w:val="00150759"/>
    <w:rsid w:val="003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7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g.ru/pril/44/75/58/1507_3.gif" TargetMode="External"/><Relationship Id="rId13" Type="http://schemas.openxmlformats.org/officeDocument/2006/relationships/image" Target="http://www.rg.ru/pril/44/75/58/1507_8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rg.ru/pril/44/75/58/1507_2.gif" TargetMode="External"/><Relationship Id="rId12" Type="http://schemas.openxmlformats.org/officeDocument/2006/relationships/image" Target="http://www.rg.ru/pril/44/75/58/1507_7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g.ru/pril/44/75/58/1507_1.gif" TargetMode="External"/><Relationship Id="rId11" Type="http://schemas.openxmlformats.org/officeDocument/2006/relationships/image" Target="http://www.rg.ru/pril/44/75/58/1507_6.gif" TargetMode="External"/><Relationship Id="rId5" Type="http://schemas.openxmlformats.org/officeDocument/2006/relationships/hyperlink" Target="http://www.szrf.ru/doc.phtml?op=1&amp;nb=00_00&amp;year=2010&amp;iss_id=254&amp;doc_id=31854" TargetMode="External"/><Relationship Id="rId15" Type="http://schemas.openxmlformats.org/officeDocument/2006/relationships/theme" Target="theme/theme1.xml"/><Relationship Id="rId10" Type="http://schemas.openxmlformats.org/officeDocument/2006/relationships/image" Target="http://www.rg.ru/pril/44/75/58/1507_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rg.ru/pril/44/75/58/1507_4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Российской Федерации от 7 сентября 2010 г. N 1507-р г. Москва</vt:lpstr>
    </vt:vector>
  </TitlesOfParts>
  <Company>МАОУ Лицей № 82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Российской Федерации от 7 сентября 2010 г. N 1507-р г. Москва</dc:title>
  <dc:creator>Шаимова С. Светлана Владимировна</dc:creator>
  <cp:lastModifiedBy>Шаимова С. Светлана Владимировна</cp:lastModifiedBy>
  <cp:revision>2</cp:revision>
  <dcterms:created xsi:type="dcterms:W3CDTF">2013-10-24T07:39:00Z</dcterms:created>
  <dcterms:modified xsi:type="dcterms:W3CDTF">2013-10-24T07:39:00Z</dcterms:modified>
</cp:coreProperties>
</file>